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810 23 162 vom 13. März 2024</w:t>
      </w:r>
    </w:p>
    <w:p>
      <w:r>
        <w:t>BL Gerichte, 2024-03-13, DE</w:t>
      </w:r>
    </w:p>
    <w:p>
      <w:r>
        <w:rPr>
          <w:b/>
        </w:rPr>
        <w:t xml:space="preserve">Quelle: </w:t>
      </w:r>
      <w:r>
        <w:t>https://mcp.opencaselaw.ch/entscheid/bl_gerichte_810 23 162</w:t>
      </w:r>
    </w:p>
    <w:p>
      <w:r>
        <w:t>FR: BL_GERICHTE 810 23 162 du 13 mars 2024</w:t>
      </w:r>
    </w:p>
    <w:p>
      <w:r>
        <w:t>IT: BL_GERICHTE 810 23 162 del 13 marzo 2024</w:t>
      </w:r>
    </w:p>
    <w:p>
      <w:pPr>
        <w:pStyle w:val="Heading2"/>
      </w:pPr>
      <w:r>
        <w:t>Regeste</w:t>
      </w:r>
    </w:p>
    <w:p>
      <w:r>
        <w:t>Baugesuch für 4 Einfamilienhäuser mit Carport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Die Verfahrenskosten in der Höhe von Fr. 2'500.-- werden den Beschwerdeführern auferlegt und mit dem geleisteten Kostenvorschuss in der Höhe von Fr. 2'500.-- verrechnet.</w:t>
      </w:r>
    </w:p>
    <w:p>
      <w:r>
        <w:rPr>
          <w:b/>
        </w:rPr>
        <w:t>E. 3</w:t>
      </w:r>
    </w:p>
    <w:p>
      <w:r>
        <w:t>Die Beschwerdeführer haben der Beschwerdegegnerin eine Parteientschädigung in der Höhe von Fr. 7'983.20 (inkl. Auslagen und 7.7 % resp. 8.1 % MWST) zu bezahlen. Im Übrigen werden die Parteikosten wettgeschlagen. Vizepräsident Gerichtsschreiberin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